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ind w:firstLine="1760" w:firstLineChars="400"/>
        <w:jc w:val="both"/>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河南省促进中小企业发展条例</w:t>
      </w:r>
    </w:p>
    <w:p>
      <w:pPr>
        <w:keepNext w:val="0"/>
        <w:keepLines w:val="0"/>
        <w:pageBreakBefore w:val="0"/>
        <w:kinsoku/>
        <w:wordWrap/>
        <w:overflowPunct/>
        <w:autoSpaceDE/>
        <w:autoSpaceDN/>
        <w:bidi w:val="0"/>
        <w:adjustRightInd/>
        <w:snapToGrid/>
        <w:spacing w:line="560" w:lineRule="exact"/>
        <w:jc w:val="center"/>
        <w:rPr>
          <w:rFonts w:hint="eastAsia" w:ascii="方正楷体简体" w:hAnsi="方正楷体简体" w:eastAsia="方正楷体简体" w:cs="方正楷体简体"/>
          <w:b w:val="0"/>
          <w:bCs w:val="0"/>
          <w:i w:val="0"/>
          <w:iCs w:val="0"/>
          <w:color w:val="000000"/>
          <w:kern w:val="0"/>
          <w:sz w:val="44"/>
          <w:szCs w:val="44"/>
          <w:u w:val="none"/>
          <w:lang w:val="en-US" w:eastAsia="zh-CN" w:bidi="ar"/>
        </w:rPr>
      </w:pPr>
      <w:r>
        <w:rPr>
          <w:rFonts w:hint="eastAsia" w:ascii="方正楷体简体" w:hAnsi="方正楷体简体" w:eastAsia="方正楷体简体" w:cs="方正楷体简体"/>
          <w:b w:val="0"/>
          <w:bCs w:val="0"/>
          <w:i w:val="0"/>
          <w:iCs w:val="0"/>
          <w:color w:val="000000"/>
          <w:kern w:val="0"/>
          <w:sz w:val="32"/>
          <w:szCs w:val="32"/>
          <w:u w:val="none"/>
          <w:lang w:val="en-US" w:eastAsia="zh-CN" w:bidi="ar"/>
        </w:rPr>
        <w:t>（草案）</w:t>
      </w:r>
    </w:p>
    <w:p>
      <w:pPr>
        <w:keepNext w:val="0"/>
        <w:keepLines w:val="0"/>
        <w:pageBreakBefore w:val="0"/>
        <w:kinsoku/>
        <w:wordWrap/>
        <w:overflowPunct/>
        <w:autoSpaceDE/>
        <w:autoSpaceDN/>
        <w:bidi w:val="0"/>
        <w:adjustRightInd/>
        <w:snapToGrid/>
        <w:spacing w:line="560" w:lineRule="exact"/>
        <w:ind w:firstLine="640" w:firstLineChars="200"/>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第一条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为了优化中小企业发展环境，保障中小企业公平参与市场竞争，维护中小企业合法权益，支持中小企业创业创新，促进中小企业健康发展，扩大城乡就业，发挥中小企业在推动高质量发展中的重要作用，根据《中华人民共和国中小企业促进法》和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第二条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本省行政区域内中小企业的发展促进活动适用本条例。</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本条例所称中小企业，是指依法设立的，符合国家中小企业划型标准的中型企业、小型企业和微型企业。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本省开展促进中小企业发展活动，坚持积极扶持、加强引导、完善服务、依法规范、保障权益的原则，以企业需求为导向，持续优化服务，营造稳定、公平、透明、可预期的营商环境，提振中小企业发展信心、激发中小企业发展动力，推动中小企业做优做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第四条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县级以上人民政府应当加强对促进中小企业发展工作的领导，将促进中小企业发展工作纳入国民经济和社会发展规划，根据实际建立促进中小企业发展工作协调机制，统筹中小企业促进工作。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w:t>
      </w:r>
      <w:r>
        <w:rPr>
          <w:rFonts w:hint="eastAsia" w:ascii="黑体" w:hAnsi="黑体" w:eastAsia="黑体" w:cs="黑体"/>
          <w:b w:val="0"/>
          <w:bCs w:val="0"/>
          <w:i w:val="0"/>
          <w:iCs w:val="0"/>
          <w:color w:val="000000"/>
          <w:kern w:val="0"/>
          <w:sz w:val="32"/>
          <w:szCs w:val="32"/>
          <w:u w:val="none"/>
          <w:lang w:val="en" w:eastAsia="zh-CN" w:bidi="ar"/>
        </w:rPr>
        <w:t>五</w:t>
      </w:r>
      <w:r>
        <w:rPr>
          <w:rFonts w:hint="eastAsia" w:ascii="黑体" w:hAnsi="黑体" w:eastAsia="黑体" w:cs="黑体"/>
          <w:b w:val="0"/>
          <w:bCs w:val="0"/>
          <w:i w:val="0"/>
          <w:iCs w:val="0"/>
          <w:color w:val="000000"/>
          <w:kern w:val="0"/>
          <w:sz w:val="32"/>
          <w:szCs w:val="32"/>
          <w:u w:val="none"/>
          <w:lang w:val="en-US" w:eastAsia="zh-CN" w:bidi="ar"/>
        </w:rPr>
        <w:t xml:space="preserve">条 </w:t>
      </w:r>
      <w:r>
        <w:rPr>
          <w:rStyle w:val="14"/>
          <w:rFonts w:hint="eastAsia" w:ascii="仿宋_GB2312" w:hAnsi="仿宋_GB2312" w:eastAsia="仿宋_GB2312" w:cs="仿宋_GB2312"/>
          <w:b w:val="0"/>
          <w:bCs w:val="0"/>
          <w:i w:val="0"/>
          <w:iCs w:val="0"/>
          <w:color w:val="000000"/>
          <w:sz w:val="32"/>
          <w:szCs w:val="32"/>
          <w:u w:val="none"/>
          <w:lang w:val="en-US" w:eastAsia="zh-CN" w:bidi="ar"/>
        </w:rPr>
        <w:t xml:space="preserve"> 省人民政府工业和信息化主管部门是本省促进中小企业发展工作的综合管理部门，负责全省促进中小企业发展工作，依法制定并组织实施本省相关促进中小企业发展的政策和措施，对促进中小企业发展活动进行综合协调、服务指导和监督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设区的市、县（市、区）人民政府确定的促进中小企业发展工作的综合管理部门，负责本行政区域促进中小企业发展工作。</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县级以上人民政府发展改革、财政、税务、自然资源、人力资源社会保障、科技、生态环境、商务、市场监管、金融监管等部门，按照各自职责做好促进中小企业发展相关工作。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第六条</w:t>
      </w:r>
      <w:r>
        <w:rPr>
          <w:rStyle w:val="14"/>
          <w:rFonts w:hint="eastAsia" w:ascii="仿宋_GB2312" w:hAnsi="仿宋_GB2312" w:eastAsia="仿宋_GB2312" w:cs="仿宋_GB2312"/>
          <w:b w:val="0"/>
          <w:bCs w:val="0"/>
          <w:i w:val="0"/>
          <w:iCs w:val="0"/>
          <w:color w:val="000000"/>
          <w:sz w:val="32"/>
          <w:szCs w:val="32"/>
          <w:u w:val="none"/>
          <w:lang w:val="en-US" w:eastAsia="zh-CN" w:bidi="ar"/>
        </w:rPr>
        <w:t xml:space="preserve"> 省人民政府统计主管部门应当会同省人民政府工业和信息化主管部门以及有关部门建立本省中小企业统计指标体系，完善中小企业统计调查和监测制度，定期发布有关信息，反映中小企业发展运行状况。</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 xml:space="preserve">第七条 </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县级以上人民政府应当定期公布中小企业支持措施清单，明确支持对象、支持标准、支持措施、支持期限等内容。</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 xml:space="preserve">第八条 </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县级以上人民政府应当根据实际情况在本级财政预算中安排中小企业发展专项资金。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中小企业发展专项资金通过资助、购买服务、奖励等方式，</w:t>
      </w:r>
      <w:r>
        <w:rPr>
          <w:rStyle w:val="15"/>
          <w:rFonts w:hint="eastAsia" w:ascii="仿宋_GB2312" w:hAnsi="仿宋_GB2312" w:eastAsia="仿宋_GB2312" w:cs="仿宋_GB2312"/>
          <w:b w:val="0"/>
          <w:bCs w:val="0"/>
          <w:i w:val="0"/>
          <w:iCs w:val="0"/>
          <w:color w:val="000000"/>
          <w:sz w:val="32"/>
          <w:szCs w:val="32"/>
          <w:u w:val="none"/>
          <w:lang w:val="en-US" w:eastAsia="zh-CN" w:bidi="ar"/>
        </w:rPr>
        <w:t>重点用于支持</w:t>
      </w:r>
      <w:r>
        <w:rPr>
          <w:rStyle w:val="14"/>
          <w:rFonts w:hint="eastAsia" w:ascii="仿宋_GB2312" w:hAnsi="仿宋_GB2312" w:eastAsia="仿宋_GB2312" w:cs="仿宋_GB2312"/>
          <w:b w:val="0"/>
          <w:bCs w:val="0"/>
          <w:i w:val="0"/>
          <w:iCs w:val="0"/>
          <w:color w:val="000000"/>
          <w:sz w:val="32"/>
          <w:szCs w:val="32"/>
          <w:u w:val="none"/>
          <w:lang w:val="en-US" w:eastAsia="zh-CN" w:bidi="ar"/>
        </w:rPr>
        <w:t>中小企业公共服务体系和融资服务体系建设，并向小型、微型企业倾斜，资金管理使用坚持公开、透明原则，实行预算绩效管理。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第九条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省人民政府应当统筹相关资金，重点设立省中小企业发展基金。省中小企业发展基金应当遵循政策性导向和市场化运作原则，主要用于引导和带动社会资金支持种子期、初创期中小企业，促进创业创新。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设区的市、县（市、区）人民政府可以根据实际情况设立中小企业发展基金或者参与设立省中小企业发展子基金。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第十条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及有关部门应当建立中小企业信贷激励机制，运用风险补偿、奖励、增信、贴息等措施，引导金融机构和地方金融组织通过创新信贷产品和服务、提供优惠利率等方式，加大对中小企业的信贷支持力度，降低融资成本。</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金融机构不得擅自对中小企业提高贷款标准，不得设置不合理的贷款条件，不得强制或者变相强制中小企业接受第三方服务。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禁止通过收取贷款服务费等形式变相提高贷款利率和收取不合理费用。</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i w:val="0"/>
          <w:iCs w:val="0"/>
          <w:color w:val="000000"/>
          <w:kern w:val="0"/>
          <w:sz w:val="32"/>
          <w:szCs w:val="32"/>
          <w:u w:val="none"/>
          <w:lang w:val="en-US" w:eastAsia="zh-CN" w:bidi="ar"/>
        </w:rPr>
        <w:t>第十一条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Fonts w:hint="eastAsia" w:ascii="仿宋_GB2312" w:hAnsi="仿宋_GB2312" w:eastAsia="仿宋_GB2312" w:cs="仿宋_GB2312"/>
          <w:color w:val="000000"/>
          <w:sz w:val="32"/>
          <w:szCs w:val="32"/>
          <w:lang w:val="en-US" w:eastAsia="zh-CN"/>
        </w:rPr>
        <w:t>省人民政府及其有关部门应当融通省信用信息共享平台、企业信用信息平台相关信息，推动中小企业金融服务平台建设，依法为中小企业提供综合融资服务。</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 w:eastAsia="zh-CN" w:bidi="ar"/>
        </w:rPr>
        <w:t>推进普惠金融发展，落实金融服务差异化监管政策，采取合理提高不良贷款容忍度等措施，</w:t>
      </w:r>
      <w:r>
        <w:rPr>
          <w:rFonts w:hint="eastAsia" w:ascii="仿宋_GB2312" w:hAnsi="仿宋_GB2312" w:eastAsia="仿宋_GB2312" w:cs="仿宋_GB2312"/>
          <w:b w:val="0"/>
          <w:bCs w:val="0"/>
          <w:kern w:val="2"/>
          <w:sz w:val="32"/>
          <w:szCs w:val="32"/>
          <w:lang w:val="en" w:eastAsia="zh-CN" w:bidi="ar-SA"/>
        </w:rPr>
        <w:t>引导金融机构和</w:t>
      </w:r>
      <w:r>
        <w:rPr>
          <w:rStyle w:val="14"/>
          <w:rFonts w:hint="eastAsia" w:ascii="仿宋_GB2312" w:hAnsi="仿宋_GB2312" w:eastAsia="仿宋_GB2312" w:cs="仿宋_GB2312"/>
          <w:b w:val="0"/>
          <w:bCs w:val="0"/>
          <w:i w:val="0"/>
          <w:iCs w:val="0"/>
          <w:color w:val="000000"/>
          <w:sz w:val="32"/>
          <w:szCs w:val="32"/>
          <w:u w:val="none"/>
          <w:lang w:val="en-US" w:eastAsia="zh-CN" w:bidi="ar"/>
        </w:rPr>
        <w:t>非存款类放贷组织等建立单独的中小企业信贷业务考核激励机制，完善适合小型、微型企业特点的授信制度，</w:t>
      </w:r>
      <w:r>
        <w:rPr>
          <w:rFonts w:hint="eastAsia" w:ascii="仿宋_GB2312" w:hAnsi="仿宋_GB2312" w:eastAsia="仿宋_GB2312" w:cs="仿宋_GB2312"/>
          <w:b w:val="0"/>
          <w:bCs w:val="0"/>
          <w:i w:val="0"/>
          <w:iCs w:val="0"/>
          <w:color w:val="000000"/>
          <w:kern w:val="2"/>
          <w:sz w:val="32"/>
          <w:szCs w:val="32"/>
          <w:u w:val="none"/>
          <w:lang w:val="en" w:eastAsia="zh-CN" w:bidi="ar"/>
        </w:rPr>
        <w:t>增加小型、微型企业融资规模和比重，</w:t>
      </w:r>
      <w:r>
        <w:rPr>
          <w:rStyle w:val="14"/>
          <w:rFonts w:hint="eastAsia" w:ascii="仿宋_GB2312" w:hAnsi="仿宋_GB2312" w:eastAsia="仿宋_GB2312" w:cs="仿宋_GB2312"/>
          <w:b w:val="0"/>
          <w:bCs w:val="0"/>
          <w:i w:val="0"/>
          <w:iCs w:val="0"/>
          <w:color w:val="000000"/>
          <w:sz w:val="32"/>
          <w:szCs w:val="32"/>
          <w:u w:val="none"/>
          <w:lang w:val="en-US" w:eastAsia="zh-CN" w:bidi="ar"/>
        </w:rPr>
        <w:t>推动建立小型、微型企业首贷全覆盖制度，开展中小企业中长期贷款、无还本续贷业务。</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支持金融机构、非存款类放贷组织等充分利用中小企业信用信息，优化风险评估机制，</w:t>
      </w:r>
      <w:r>
        <w:rPr>
          <w:rFonts w:hint="default" w:ascii="仿宋_GB2312" w:hAnsi="仿宋_GB2312" w:eastAsia="仿宋_GB2312" w:cs="仿宋_GB2312"/>
          <w:color w:val="000000"/>
          <w:sz w:val="32"/>
          <w:szCs w:val="32"/>
          <w:lang w:val="en" w:eastAsia="zh-CN"/>
        </w:rPr>
        <w:t>逐步提高针对</w:t>
      </w:r>
      <w:r>
        <w:rPr>
          <w:rFonts w:hint="eastAsia" w:ascii="仿宋_GB2312" w:hAnsi="仿宋_GB2312" w:eastAsia="仿宋_GB2312" w:cs="仿宋_GB2312"/>
          <w:color w:val="000000"/>
          <w:sz w:val="32"/>
          <w:szCs w:val="32"/>
          <w:lang w:val="en-US" w:eastAsia="zh-CN"/>
        </w:rPr>
        <w:t>中小企业</w:t>
      </w:r>
      <w:r>
        <w:rPr>
          <w:rFonts w:hint="default" w:ascii="仿宋_GB2312" w:hAnsi="仿宋_GB2312" w:eastAsia="仿宋_GB2312" w:cs="仿宋_GB2312"/>
          <w:color w:val="000000"/>
          <w:sz w:val="32"/>
          <w:szCs w:val="32"/>
          <w:lang w:val="en" w:eastAsia="zh-CN"/>
        </w:rPr>
        <w:t>不设抵押担保的信用贷款比例，</w:t>
      </w:r>
      <w:r>
        <w:rPr>
          <w:rFonts w:hint="eastAsia" w:ascii="仿宋_GB2312" w:hAnsi="仿宋_GB2312" w:eastAsia="仿宋_GB2312" w:cs="仿宋_GB2312"/>
          <w:color w:val="000000"/>
          <w:sz w:val="32"/>
          <w:szCs w:val="32"/>
          <w:lang w:val="en-US" w:eastAsia="zh-CN"/>
        </w:rPr>
        <w:t>合理满足单户授信总额1000万元以上的小型、微型企业信贷需求。</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outlineLvl w:val="9"/>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推动金融机构开展专精特新贷业务，针对创新型中小企业</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专精特新中小企业</w:t>
      </w:r>
      <w:r>
        <w:rPr>
          <w:rFonts w:hint="default" w:ascii="仿宋_GB2312" w:hAnsi="仿宋_GB2312" w:eastAsia="仿宋_GB2312" w:cs="仿宋_GB2312"/>
          <w:color w:val="000000"/>
          <w:sz w:val="32"/>
          <w:szCs w:val="32"/>
          <w:lang w:val="en" w:eastAsia="zh-CN"/>
        </w:rPr>
        <w:t>和</w:t>
      </w:r>
      <w:r>
        <w:rPr>
          <w:rFonts w:hint="eastAsia" w:ascii="仿宋_GB2312" w:hAnsi="仿宋_GB2312" w:eastAsia="仿宋_GB2312" w:cs="仿宋_GB2312"/>
          <w:color w:val="000000"/>
          <w:sz w:val="32"/>
          <w:szCs w:val="32"/>
          <w:lang w:val="en-US" w:eastAsia="zh-CN"/>
        </w:rPr>
        <w:t>专精特新小巨人企业</w:t>
      </w:r>
      <w:r>
        <w:rPr>
          <w:rFonts w:hint="default" w:ascii="仿宋_GB2312" w:hAnsi="仿宋_GB2312" w:eastAsia="仿宋_GB2312" w:cs="仿宋_GB2312"/>
          <w:color w:val="000000"/>
          <w:sz w:val="32"/>
          <w:szCs w:val="32"/>
          <w:lang w:val="en" w:eastAsia="zh-CN"/>
        </w:rPr>
        <w:t>，推出</w:t>
      </w:r>
      <w:r>
        <w:rPr>
          <w:rFonts w:hint="eastAsia" w:ascii="仿宋_GB2312" w:hAnsi="仿宋_GB2312" w:eastAsia="仿宋_GB2312" w:cs="仿宋_GB2312"/>
          <w:color w:val="000000"/>
          <w:sz w:val="32"/>
          <w:szCs w:val="32"/>
          <w:lang w:val="en-US" w:eastAsia="zh-CN"/>
        </w:rPr>
        <w:t>授信额度分别达到1000万元</w:t>
      </w:r>
      <w:r>
        <w:rPr>
          <w:rFonts w:hint="default" w:ascii="仿宋_GB2312" w:hAnsi="仿宋_GB2312" w:eastAsia="仿宋_GB2312" w:cs="仿宋_GB2312"/>
          <w:color w:val="000000"/>
          <w:sz w:val="32"/>
          <w:szCs w:val="32"/>
          <w:lang w:val="en" w:eastAsia="zh-CN"/>
        </w:rPr>
        <w:t>、3000万元、</w:t>
      </w:r>
      <w:r>
        <w:rPr>
          <w:rFonts w:hint="eastAsia" w:ascii="仿宋_GB2312" w:hAnsi="仿宋_GB2312" w:eastAsia="仿宋_GB2312" w:cs="仿宋_GB2312"/>
          <w:color w:val="000000"/>
          <w:sz w:val="32"/>
          <w:szCs w:val="32"/>
          <w:lang w:val="en-US" w:eastAsia="zh-CN"/>
        </w:rPr>
        <w:t>5000万元</w:t>
      </w:r>
      <w:r>
        <w:rPr>
          <w:rFonts w:hint="default" w:ascii="仿宋_GB2312" w:hAnsi="仿宋_GB2312" w:eastAsia="仿宋_GB2312" w:cs="仿宋_GB2312"/>
          <w:color w:val="000000"/>
          <w:sz w:val="32"/>
          <w:szCs w:val="32"/>
          <w:lang w:val="en" w:eastAsia="zh-CN"/>
        </w:rPr>
        <w:t>的信用贷款</w:t>
      </w:r>
      <w:r>
        <w:rPr>
          <w:rFonts w:hint="eastAsia" w:ascii="仿宋_GB2312" w:hAnsi="仿宋_GB2312" w:eastAsia="仿宋_GB2312" w:cs="仿宋_GB2312"/>
          <w:color w:val="000000"/>
          <w:sz w:val="32"/>
          <w:szCs w:val="32"/>
          <w:lang w:val="en"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kern w:val="0"/>
          <w:sz w:val="32"/>
          <w:szCs w:val="32"/>
          <w:lang w:val="en-US" w:eastAsia="zh-CN"/>
        </w:rPr>
        <w:t xml:space="preserve">第十二条 </w:t>
      </w:r>
      <w:r>
        <w:rPr>
          <w:rStyle w:val="14"/>
          <w:rFonts w:hint="eastAsia" w:ascii="仿宋_GB2312" w:hAnsi="仿宋_GB2312" w:eastAsia="仿宋_GB2312" w:cs="仿宋_GB2312"/>
          <w:b w:val="0"/>
          <w:bCs w:val="0"/>
          <w:i w:val="0"/>
          <w:iCs w:val="0"/>
          <w:color w:val="000000"/>
          <w:sz w:val="32"/>
          <w:szCs w:val="32"/>
          <w:u w:val="none"/>
          <w:lang w:val="en-US" w:eastAsia="zh-CN" w:bidi="ar"/>
        </w:rPr>
        <w:t>鼓励发展供应链金融，支持金融机构和地方金融组织依托供应链核心企业的信用和交易信息，为上下游中小企业提供无需抵押担保的订单融资、应收账款融资。应收账款的付款方，应当及时确认真实性，帮助中小企业利用应收账款融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支持金融机构和地方金融组织依法为中小企业提供以知识产权、股权、存货、机器设备等为担保财产的担保融资。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第十三条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鼓励设区的市、县（市、区）人民政府设立并扩大小型、微型企业应急周转资金池，通过应急周转资金、应急转贷等方式，降低</w:t>
      </w:r>
      <w:r>
        <w:rPr>
          <w:rStyle w:val="14"/>
          <w:rFonts w:hint="default" w:ascii="仿宋_GB2312" w:hAnsi="仿宋_GB2312" w:eastAsia="仿宋_GB2312" w:cs="仿宋_GB2312"/>
          <w:b w:val="0"/>
          <w:bCs w:val="0"/>
          <w:i w:val="0"/>
          <w:iCs w:val="0"/>
          <w:color w:val="000000"/>
          <w:sz w:val="32"/>
          <w:szCs w:val="32"/>
          <w:u w:val="none"/>
          <w:lang w:val="en" w:eastAsia="zh-CN" w:bidi="ar"/>
        </w:rPr>
        <w:t>小型</w:t>
      </w:r>
      <w:r>
        <w:rPr>
          <w:rStyle w:val="14"/>
          <w:rFonts w:hint="eastAsia" w:ascii="仿宋_GB2312" w:hAnsi="仿宋_GB2312" w:eastAsia="仿宋_GB2312" w:cs="仿宋_GB2312"/>
          <w:b w:val="0"/>
          <w:bCs w:val="0"/>
          <w:i w:val="0"/>
          <w:iCs w:val="0"/>
          <w:color w:val="000000"/>
          <w:sz w:val="32"/>
          <w:szCs w:val="32"/>
          <w:u w:val="none"/>
          <w:lang w:val="en" w:eastAsia="zh-CN" w:bidi="ar"/>
        </w:rPr>
        <w:t>、</w:t>
      </w:r>
      <w:r>
        <w:rPr>
          <w:rStyle w:val="14"/>
          <w:rFonts w:hint="default" w:ascii="仿宋_GB2312" w:hAnsi="仿宋_GB2312" w:eastAsia="仿宋_GB2312" w:cs="仿宋_GB2312"/>
          <w:b w:val="0"/>
          <w:bCs w:val="0"/>
          <w:i w:val="0"/>
          <w:iCs w:val="0"/>
          <w:color w:val="000000"/>
          <w:sz w:val="32"/>
          <w:szCs w:val="32"/>
          <w:u w:val="none"/>
          <w:lang w:val="en" w:eastAsia="zh-CN" w:bidi="ar"/>
        </w:rPr>
        <w:t>微型</w:t>
      </w:r>
      <w:r>
        <w:rPr>
          <w:rStyle w:val="14"/>
          <w:rFonts w:hint="eastAsia" w:ascii="仿宋_GB2312" w:hAnsi="仿宋_GB2312" w:eastAsia="仿宋_GB2312" w:cs="仿宋_GB2312"/>
          <w:b w:val="0"/>
          <w:bCs w:val="0"/>
          <w:i w:val="0"/>
          <w:iCs w:val="0"/>
          <w:color w:val="000000"/>
          <w:sz w:val="32"/>
          <w:szCs w:val="32"/>
          <w:u w:val="none"/>
          <w:lang w:val="en-US" w:eastAsia="zh-CN" w:bidi="ar"/>
        </w:rPr>
        <w:t>企业综合融资成本。</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省人民政府建立小型、微型企业应急周转资金池奖励机制，出台激励政策，通过对符合条件的银行业金融机构和设区的市、县（市、区）应急周转资金池进行奖励，提高银行业金融机构和设区的市、县（市、区）人民政府服务</w:t>
      </w:r>
      <w:r>
        <w:rPr>
          <w:rStyle w:val="14"/>
          <w:rFonts w:hint="default" w:ascii="仿宋_GB2312" w:hAnsi="仿宋_GB2312" w:eastAsia="仿宋_GB2312" w:cs="仿宋_GB2312"/>
          <w:b w:val="0"/>
          <w:bCs w:val="0"/>
          <w:i w:val="0"/>
          <w:iCs w:val="0"/>
          <w:color w:val="000000"/>
          <w:sz w:val="32"/>
          <w:szCs w:val="32"/>
          <w:u w:val="none"/>
          <w:lang w:val="en" w:eastAsia="zh-CN" w:bidi="ar"/>
        </w:rPr>
        <w:t>小型</w:t>
      </w:r>
      <w:r>
        <w:rPr>
          <w:rStyle w:val="14"/>
          <w:rFonts w:hint="eastAsia" w:ascii="仿宋_GB2312" w:hAnsi="仿宋_GB2312" w:eastAsia="仿宋_GB2312" w:cs="仿宋_GB2312"/>
          <w:b w:val="0"/>
          <w:bCs w:val="0"/>
          <w:i w:val="0"/>
          <w:iCs w:val="0"/>
          <w:color w:val="000000"/>
          <w:sz w:val="32"/>
          <w:szCs w:val="32"/>
          <w:u w:val="none"/>
          <w:lang w:val="en" w:eastAsia="zh-CN" w:bidi="ar"/>
        </w:rPr>
        <w:t>、</w:t>
      </w:r>
      <w:r>
        <w:rPr>
          <w:rStyle w:val="14"/>
          <w:rFonts w:hint="default" w:ascii="仿宋_GB2312" w:hAnsi="仿宋_GB2312" w:eastAsia="仿宋_GB2312" w:cs="仿宋_GB2312"/>
          <w:b w:val="0"/>
          <w:bCs w:val="0"/>
          <w:i w:val="0"/>
          <w:iCs w:val="0"/>
          <w:color w:val="000000"/>
          <w:sz w:val="32"/>
          <w:szCs w:val="32"/>
          <w:u w:val="none"/>
          <w:lang w:val="en" w:eastAsia="zh-CN" w:bidi="ar"/>
        </w:rPr>
        <w:t>微型</w:t>
      </w:r>
      <w:r>
        <w:rPr>
          <w:rStyle w:val="14"/>
          <w:rFonts w:hint="eastAsia" w:ascii="仿宋_GB2312" w:hAnsi="仿宋_GB2312" w:eastAsia="仿宋_GB2312" w:cs="仿宋_GB2312"/>
          <w:b w:val="0"/>
          <w:bCs w:val="0"/>
          <w:i w:val="0"/>
          <w:iCs w:val="0"/>
          <w:color w:val="000000"/>
          <w:sz w:val="32"/>
          <w:szCs w:val="32"/>
          <w:u w:val="none"/>
          <w:lang w:val="en-US" w:eastAsia="zh-CN" w:bidi="ar"/>
        </w:rPr>
        <w:t>企业融资的积极性。</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县级以上人民政府及其有关部门应当落实国家小型微型企业融资担保政策，引导担保机构扩大小型微型企业融资担保业务规模、降低小型微型企业融资担保成本。</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第十四条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建立与中小企业融资担保需求规模相适应的政府性融资担保体系。</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政府性国有担保机构应当坚持以中小企业特别是小型、微型企业业务为重点，不以营利为目的，服务小型、微型企业的业务占比应当不低于百分之八十。推广政府、银行、担保机构风险共担机制，提高担保机构对小型、微型企业的风险容忍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第十五条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支持保险机构积极开展中小企业贷款保证保险和信用保险业务，开发适应中小企业分散风险、补偿损失需求的保险产品。</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县级以上人民政府可以安排资金用于中小企业贷款保证保险和信用保险的风险补偿等。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第十六条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支持符合条件的中小企业到境内外证券交易所上市，或者到全国中小企业股份转让系统和区域性股权市场挂牌，通过发行股票、债券和资产证券化等方式直接融资；</w:t>
      </w:r>
      <w:r>
        <w:rPr>
          <w:rFonts w:hint="eastAsia" w:ascii="仿宋_GB2312" w:hAnsi="仿宋_GB2312" w:eastAsia="仿宋_GB2312" w:cs="仿宋_GB2312"/>
          <w:b w:val="0"/>
          <w:bCs w:val="0"/>
          <w:i w:val="0"/>
          <w:iCs w:val="0"/>
          <w:color w:val="000000"/>
          <w:kern w:val="2"/>
          <w:sz w:val="32"/>
          <w:szCs w:val="32"/>
          <w:u w:val="none"/>
          <w:lang w:val="en" w:eastAsia="zh-CN" w:bidi="ar"/>
        </w:rPr>
        <w:t>推动在中原股权交易中心设立“专精特新板”，增强对“专精特新”企业的专项资本市场服务，帮助企业挂牌融资。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及其有关部门应当培育中小企业上市资源，支持中小企业规范化股份制改造，推荐优质企业申报省上市挂牌后备企业资源库，鼓励和引导证券、会计、法律等专业服务机构为中小企业直接融资提供指导和服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第十七条</w:t>
      </w:r>
      <w:r>
        <w:rPr>
          <w:rFonts w:hint="eastAsia" w:ascii="黑体" w:hAnsi="黑体" w:eastAsia="黑体" w:cs="黑体"/>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县级以上人民政府及其有关部门应当引导中小企业围绕市场需求，开展技术、产品、管理模式、商业模式创新，支持中小企业建立研发机构、健全研发管理体系、研发产业关键共性技术或者重大创新产品。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center"/>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第十八条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sz w:val="32"/>
          <w:szCs w:val="32"/>
          <w:u w:val="none"/>
          <w:lang w:val="en-US" w:eastAsia="zh-CN" w:bidi="ar"/>
        </w:rPr>
        <w:t>鼓励高等院校、科研机构等和中小企业建立产、学、研、用一体化中心、基地或者平台，开放试验仪器设备，开展技术研发与合作，加强科技成果转化，提升中小企业创新创造能力。</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第十九条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县级以上人民政府及其有关部门应当推动大型企业与中小企业加强产业链、创新链、供应链、价值链、制度链合作，促进大中小企业融通发展。</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0"/>
          <w:sz w:val="32"/>
          <w:szCs w:val="32"/>
          <w:u w:val="none"/>
          <w:lang w:val="en" w:eastAsia="zh-CN" w:bidi="ar"/>
        </w:rPr>
        <w:t>县级以上人民政府应当加强新材料、新能源汽车、先进装备等重点产业链培育，鼓励大型企业在吸纳中小企业参与基础上，建立产业联盟和行业协会，推动重点产业链大型企业与上下游中小企业建立稳定的原材料供应、生产、销售、服务外包等协作关系，推进中小企业产品和服务进入重点产业链。</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0"/>
          <w:sz w:val="32"/>
          <w:szCs w:val="32"/>
          <w:u w:val="none"/>
          <w:lang w:val="en" w:eastAsia="zh-CN" w:bidi="ar"/>
        </w:rPr>
        <w:t>支持大型企业与上下游中小企业组建创新联合体，开展产业链共性技术研发和核心技术攻关，培育产业链“专精特新”企业，构建大型企业和中小企业协同创新、资源共享、融合发展的产业生态，促进产业集群整体升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SA"/>
        </w:rPr>
      </w:pPr>
      <w:r>
        <w:rPr>
          <w:rFonts w:hint="eastAsia" w:ascii="黑体" w:hAnsi="黑体" w:eastAsia="黑体" w:cs="黑体"/>
          <w:b w:val="0"/>
          <w:bCs w:val="0"/>
          <w:i w:val="0"/>
          <w:iCs w:val="0"/>
          <w:color w:val="000000"/>
          <w:kern w:val="0"/>
          <w:sz w:val="32"/>
          <w:szCs w:val="32"/>
          <w:u w:val="none"/>
          <w:lang w:val="en-US" w:eastAsia="zh-CN" w:bidi="ar"/>
        </w:rPr>
        <w:t>第二十条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SA"/>
        </w:rPr>
        <w:t>县级以上人民政府及其有关部门应当鼓励和支持中小企业在研发设计、生产制造、运营管理、市场开拓等环节，应用物联网、工业互联网、云计算、大数据、人工智能、虚拟现实、区块链等新一代信息技术手段，通过智能化、绿色化、信息化改造，加快技术升级、装备更新和产品迭代，改进工艺流程，提高生产经营效率，促进数字化转型升级。</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SA"/>
        </w:rPr>
        <w:t>鼓励大型信息化服务商向中小企业开放平台入口、数据信息、计算能力等资源，帮助中小企业提高信息化应用能力和市场竞争力。</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第二十一条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县级以上人民政府及其有关部门应当支持中小企业研究开发拥有自主知识产权的技术和产品，为其提供知识产权咨询辅导，指导</w:t>
      </w:r>
      <w:r>
        <w:rPr>
          <w:rFonts w:hint="eastAsia" w:ascii="仿宋_GB2312" w:hAnsi="仿宋_GB2312" w:eastAsia="仿宋_GB2312" w:cs="仿宋_GB2312"/>
          <w:b w:val="0"/>
          <w:bCs w:val="0"/>
          <w:color w:val="000000"/>
          <w:kern w:val="2"/>
          <w:sz w:val="32"/>
          <w:szCs w:val="32"/>
          <w:u w:val="none"/>
          <w:lang w:val="en-US" w:eastAsia="zh-CN" w:bidi="ar-SA"/>
        </w:rPr>
        <w:t>中小企业申请专利、注册商标、申报老字号等，并依法落实减轻中小企业申请和维持知识产权费用等政策，</w:t>
      </w:r>
      <w:r>
        <w:rPr>
          <w:rFonts w:hint="eastAsia" w:ascii="仿宋_GB2312" w:hAnsi="仿宋_GB2312" w:eastAsia="仿宋_GB2312" w:cs="仿宋_GB2312"/>
          <w:b w:val="0"/>
          <w:bCs w:val="0"/>
          <w:i w:val="0"/>
          <w:iCs w:val="0"/>
          <w:color w:val="000000"/>
          <w:kern w:val="2"/>
          <w:sz w:val="32"/>
          <w:szCs w:val="32"/>
          <w:u w:val="none"/>
          <w:lang w:val="en-US" w:eastAsia="zh-CN" w:bidi="ar"/>
        </w:rPr>
        <w:t>帮助中小企业</w:t>
      </w:r>
      <w:r>
        <w:rPr>
          <w:rFonts w:hint="eastAsia" w:ascii="仿宋_GB2312" w:hAnsi="仿宋_GB2312" w:eastAsia="仿宋_GB2312" w:cs="仿宋_GB2312"/>
          <w:b w:val="0"/>
          <w:bCs w:val="0"/>
          <w:color w:val="000000"/>
          <w:kern w:val="2"/>
          <w:sz w:val="32"/>
          <w:szCs w:val="32"/>
          <w:u w:val="none"/>
          <w:lang w:val="en-US" w:eastAsia="zh-CN" w:bidi="ar-SA"/>
        </w:rPr>
        <w:t>规范</w:t>
      </w:r>
      <w:r>
        <w:rPr>
          <w:rFonts w:hint="eastAsia" w:ascii="仿宋_GB2312" w:hAnsi="仿宋_GB2312" w:eastAsia="仿宋_GB2312" w:cs="仿宋_GB2312"/>
          <w:b w:val="0"/>
          <w:bCs w:val="0"/>
          <w:i w:val="0"/>
          <w:iCs w:val="0"/>
          <w:color w:val="000000"/>
          <w:kern w:val="2"/>
          <w:sz w:val="32"/>
          <w:szCs w:val="32"/>
          <w:u w:val="none"/>
          <w:lang w:val="en-US" w:eastAsia="zh-CN" w:bidi="ar"/>
        </w:rPr>
        <w:t>内部知识产权管理，提升保护和运用知识产权的能力。</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鼓励中小企业较为集中的区域打造区域品牌，申请地理标志产品，申请注册集体商标和证明商标。</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建立面向中小企业的知识产权服务援</w:t>
      </w:r>
      <w:r>
        <w:rPr>
          <w:rFonts w:hint="eastAsia" w:ascii="仿宋_GB2312" w:hAnsi="仿宋_GB2312" w:eastAsia="仿宋_GB2312" w:cs="仿宋_GB2312"/>
          <w:b w:val="0"/>
          <w:bCs w:val="0"/>
          <w:sz w:val="32"/>
          <w:szCs w:val="32"/>
        </w:rPr>
        <w:t>助机制，鼓励支持知识产权服务机构为</w:t>
      </w:r>
      <w:r>
        <w:rPr>
          <w:rFonts w:hint="eastAsia" w:ascii="仿宋_GB2312" w:hAnsi="仿宋_GB2312" w:eastAsia="仿宋_GB2312" w:cs="仿宋_GB2312"/>
          <w:b w:val="0"/>
          <w:bCs w:val="0"/>
          <w:sz w:val="32"/>
          <w:szCs w:val="32"/>
          <w:lang w:eastAsia="zh-CN"/>
        </w:rPr>
        <w:t>中小</w:t>
      </w:r>
      <w:r>
        <w:rPr>
          <w:rFonts w:hint="eastAsia" w:ascii="仿宋_GB2312" w:hAnsi="仿宋_GB2312" w:eastAsia="仿宋_GB2312" w:cs="仿宋_GB2312"/>
          <w:b w:val="0"/>
          <w:bCs w:val="0"/>
          <w:sz w:val="32"/>
          <w:szCs w:val="32"/>
        </w:rPr>
        <w:t>企业</w:t>
      </w:r>
      <w:r>
        <w:rPr>
          <w:rFonts w:hint="eastAsia" w:ascii="仿宋_GB2312" w:hAnsi="仿宋_GB2312" w:eastAsia="仿宋_GB2312" w:cs="仿宋_GB2312"/>
          <w:b w:val="0"/>
          <w:bCs w:val="0"/>
          <w:sz w:val="32"/>
          <w:szCs w:val="32"/>
          <w:lang w:eastAsia="zh-CN"/>
        </w:rPr>
        <w:t>特别是中小民营企业</w:t>
      </w:r>
      <w:r>
        <w:rPr>
          <w:rFonts w:hint="eastAsia" w:ascii="仿宋_GB2312" w:hAnsi="仿宋_GB2312" w:eastAsia="仿宋_GB2312" w:cs="仿宋_GB2312"/>
          <w:b w:val="0"/>
          <w:bCs w:val="0"/>
          <w:sz w:val="32"/>
          <w:szCs w:val="32"/>
        </w:rPr>
        <w:t>提供公益性援助服务，为企业知识产权创新成果转化运用、知识产权纠纷解决提供信息咨询和技术支持服务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第二十二条</w:t>
      </w:r>
      <w:r>
        <w:rPr>
          <w:rFonts w:hint="eastAsia" w:ascii="黑体" w:hAnsi="黑体" w:eastAsia="黑体" w:cs="黑体"/>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县级以上人民政府及其有关部门应当执行全国统一的市场准入负面清单制度；市场准入负面清单以外的行业、领域、业务，中小企业均可依法平等进入，不得以备案、注册、年检、认定、认证、指定、要求设立分公司等形式设定或者变相设定中小企业准入障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第二十三条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负有编制部门预算职责的部门应当组织评估本部门以及所属单位政府采购项目，统筹制定面向中小企业预留采购份额的具体方案，对适宜由中小企业提供的采购项目和采购包，按照预留采购份额专门面向中小企业采购，并在政府采购预算中单独列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向中小企业预留的采购份额应当占本部门年度政府采购项目预算总额的百分之三十以上；其中，预留给小型、微型企业的比例不低于百分之六十。中小企业无法提供的商品和服务除外。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政府采购不得在企业股权结构、经营年限、经营规模和财务指标等方面对中小企业实行差别待遇或者歧视待遇。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政府采购部门应当在政府采购监督管理部门指定的媒体及时向社会公开发布采购信息，为中小企业获得政府采购合同提供指导和服务。</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中小企业参加政府采购活动的，除按照国家规定出具中小企业声明函外，不得要求其提供属于中小企业的其他身份证明文件。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第二十四条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招标人在招投标文件中不得设定与招标项目具体特点和实际需要不相适应或者与合同履行无关的资格、技术和商务条件，不得违法以企业注册资本、资产总额、营业收入、从业人员、利润、纳税额等规模条件和财务指标作为要求，不得在企业股权结构、经营年限、所有制形式等方面对中小企业实行差别待遇或者歧视待遇，不得以其他不合理条件限制或者排斥中小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第二十五条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县级以上人民政府及其有关部门应当支持中小企业参加各类国内、国际展会。对中小企业参加符合本省分类补助标准展会的，可以按照规定对参展费用给予一定支持。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第二十六条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有条件的设区的市人民政府及其有关部门可以根据实际通过支持跨境电商包机、中欧班列（中豫号）专列加密开行班次，鼓励大型企业或者链主企业建立海外仓和海外运营中心等，推动中小企业运用跨境电商等贸易方式开拓国际市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0"/>
          <w:sz w:val="32"/>
          <w:szCs w:val="32"/>
          <w:u w:val="none"/>
          <w:lang w:val="en" w:eastAsia="zh-CN" w:bidi="ar"/>
        </w:rPr>
        <w:t>县级以上人民政府有关部门应当在境外投资、法律咨询、知识产权保护、技术性贸易措施、产品认证、海外维权等方面为中小企业产品和服务出口提供指导和帮助。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第二十七条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负责促进中小企业发展工作的综合管理部门应当建立完善跨部门的政策信息互联网发布平台，及时汇集涉及中小企业的法律法规、创业、创新、金融、市场、权益保护等各类政府服务信息，免费提供给中小企业</w:t>
      </w:r>
      <w:r>
        <w:rPr>
          <w:rFonts w:hint="default" w:ascii="仿宋_GB2312" w:hAnsi="仿宋_GB2312" w:eastAsia="仿宋_GB2312" w:cs="仿宋_GB2312"/>
          <w:b w:val="0"/>
          <w:bCs w:val="0"/>
          <w:i w:val="0"/>
          <w:iCs w:val="0"/>
          <w:color w:val="000000"/>
          <w:kern w:val="2"/>
          <w:sz w:val="32"/>
          <w:szCs w:val="32"/>
          <w:u w:val="none"/>
          <w:lang w:val="en" w:eastAsia="zh-CN" w:bidi="ar"/>
        </w:rPr>
        <w:t>，同时</w:t>
      </w:r>
      <w:r>
        <w:rPr>
          <w:rFonts w:hint="eastAsia" w:ascii="仿宋_GB2312" w:hAnsi="仿宋_GB2312" w:eastAsia="仿宋_GB2312" w:cs="仿宋_GB2312"/>
          <w:b w:val="0"/>
          <w:bCs w:val="0"/>
          <w:i w:val="0"/>
          <w:iCs w:val="0"/>
          <w:color w:val="000000"/>
          <w:kern w:val="2"/>
          <w:sz w:val="32"/>
          <w:szCs w:val="32"/>
          <w:u w:val="none"/>
          <w:lang w:val="en-US" w:eastAsia="zh-CN" w:bidi="ar"/>
        </w:rPr>
        <w:t>定期发布有关技术创新、项目孵化、成果转化信息，为中小企业交流展示、开拓市场提供指导服务，鼓励和支持中小企业专业化、精细化、特色化、新颖化发展。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县级以上人民政府及其有关部门应当通过大数据、人工智能、互联网等方式，逐步实现涉企优惠政策智能匹配，符合条件的中小企业可以免于申报直接享受。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第二十八条</w:t>
      </w:r>
      <w:r>
        <w:rPr>
          <w:rFonts w:hint="eastAsia" w:ascii="黑体" w:hAnsi="黑体" w:eastAsia="黑体" w:cs="黑体"/>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县级以上人民政府及其有关部门应当根据国土空间规划，依法安排符合国家产业政策的中小企业项目发展用地。</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Style w:val="15"/>
          <w:rFonts w:hint="eastAsia" w:ascii="仿宋_GB2312" w:hAnsi="仿宋_GB2312" w:eastAsia="仿宋_GB2312" w:cs="仿宋_GB2312"/>
          <w:b w:val="0"/>
          <w:bCs w:val="0"/>
          <w:i w:val="0"/>
          <w:iCs w:val="0"/>
          <w:color w:val="000000"/>
          <w:kern w:val="2"/>
          <w:sz w:val="32"/>
          <w:szCs w:val="32"/>
          <w:u w:val="none"/>
          <w:lang w:val="en-US" w:eastAsia="zh-CN" w:bidi="ar"/>
        </w:rPr>
      </w:pPr>
      <w:r>
        <w:rPr>
          <w:rStyle w:val="15"/>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按照职责可以通过弹性年期出让、先租后让、租让结合、长期租赁等多种方式向中小企业供应土地，允许中小企业在国家规定期限内按照合同约定分期缴纳土地出让价款。对用地需求面积较大或者分期建设的中小企业工业用地，允许按照一次规划、分期供地的要求，预留发展用地。</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5"/>
          <w:rFonts w:hint="eastAsia" w:ascii="仿宋_GB2312" w:hAnsi="仿宋_GB2312" w:eastAsia="仿宋_GB2312" w:cs="仿宋_GB2312"/>
          <w:b w:val="0"/>
          <w:bCs w:val="0"/>
          <w:i w:val="0"/>
          <w:iCs w:val="0"/>
          <w:color w:val="000000"/>
          <w:kern w:val="2"/>
          <w:sz w:val="32"/>
          <w:szCs w:val="32"/>
          <w:u w:val="none"/>
          <w:lang w:val="en-US" w:eastAsia="zh-CN" w:bidi="ar"/>
        </w:rPr>
        <w:t>农村集体经济组织兴办的中小企业，或者以农民集体所有建设用地使用权入股、联营等形式与其他单位或者个人共同创办的中小企业，可以依法取得农民集体所有建设用地使用权。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第二十九条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县级以上人民政府负责促进中小企业发展工作的综合管理部门应当安排资金，有计划地组织实施中小企业经营管理人员培训。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应当制定面向中小企业的人才培养规划，推动建立校企合作等人才培养机制，根据中小企业发展需求，指导有关高等学校、职业教育院校和职业技能培训机构培养创新、专业和实用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2"/>
          <w:sz w:val="32"/>
          <w:szCs w:val="32"/>
          <w:u w:val="none"/>
          <w:lang w:val="en-US" w:eastAsia="zh-CN" w:bidi="ar"/>
        </w:rPr>
        <w:t>县级以上人民政府及其有关部门应当</w:t>
      </w:r>
      <w:r>
        <w:rPr>
          <w:rStyle w:val="14"/>
          <w:rFonts w:hint="eastAsia" w:ascii="仿宋_GB2312" w:hAnsi="仿宋_GB2312" w:eastAsia="仿宋_GB2312" w:cs="仿宋_GB2312"/>
          <w:b w:val="0"/>
          <w:bCs w:val="0"/>
          <w:i w:val="0"/>
          <w:iCs w:val="0"/>
          <w:color w:val="000000"/>
          <w:sz w:val="32"/>
          <w:szCs w:val="32"/>
          <w:u w:val="none"/>
          <w:lang w:val="en-US" w:eastAsia="zh-CN" w:bidi="ar"/>
        </w:rPr>
        <w:t>加强</w:t>
      </w:r>
      <w:r>
        <w:rPr>
          <w:rFonts w:hint="eastAsia" w:ascii="仿宋_GB2312" w:hAnsi="仿宋_GB2312" w:eastAsia="仿宋_GB2312" w:cs="仿宋_GB2312"/>
          <w:b w:val="0"/>
          <w:bCs w:val="0"/>
          <w:i w:val="0"/>
          <w:iCs w:val="0"/>
          <w:color w:val="000000"/>
          <w:kern w:val="2"/>
          <w:sz w:val="32"/>
          <w:szCs w:val="32"/>
          <w:u w:val="none"/>
          <w:lang w:val="en-US" w:eastAsia="zh-CN" w:bidi="ar"/>
        </w:rPr>
        <w:t>中小企业公共服务体系建设，根据实际需求建立完善中小企业公共服务机构，为中小企业在政策咨询、创新创业、人才培训、投融资等方面提供公益性服务。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sz w:val="32"/>
          <w:szCs w:val="32"/>
          <w:u w:val="none"/>
          <w:lang w:val="en-US" w:eastAsia="zh-CN" w:bidi="ar"/>
        </w:rPr>
      </w:pPr>
      <w:r>
        <w:rPr>
          <w:rStyle w:val="14"/>
          <w:rFonts w:hint="eastAsia" w:ascii="仿宋_GB2312" w:hAnsi="仿宋_GB2312" w:eastAsia="仿宋_GB2312" w:cs="仿宋_GB2312"/>
          <w:b w:val="0"/>
          <w:bCs w:val="0"/>
          <w:i w:val="0"/>
          <w:iCs w:val="0"/>
          <w:color w:val="000000"/>
          <w:sz w:val="32"/>
          <w:szCs w:val="32"/>
          <w:u w:val="none"/>
          <w:lang w:val="en-US" w:eastAsia="zh-CN" w:bidi="ar"/>
        </w:rPr>
        <w:t xml:space="preserve">鼓励社会服务机构为中小企业提供创业培训与辅导、知识产权保护、管理咨询、信息咨询、信用服务、市场营销、项目开发、财会税务、产权交易、技术支持、人才引进、对外合作、展览展销、法律咨询等服务。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前两款规定的服务机构，经省人民政府工业和信息化主管部门认定为省级中小企业公共服务示范平台的，且年度综合考核符合优秀等次，应当分等次给予奖励。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第三十一条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省人民政府财政部门应当会同有关主管部门实施涉企行政事业性收费和政府性基金目录清单制度，并对外公布。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县级以上人民政府有关部门应当通过政府网站、公共媒体等媒介以及在收费场所公开所执收的收费项目、依据、标准、征收程序以及法律责任，接受社会监督。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对中小企业不得执行目录清单之外的收费，不得违反规定提高收费标准、扩大收费范围。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禁止强制或者变相强制中小企业赞助捐赠、订购报刊、加入社团、购买指定产品或者接受指定服务。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除法律、行政法规规定外，不得强制或者变相强制中小企业参加评比、考核、考试、表彰、培训等活动，不得借前述活动向中小企业收费或者变相收费。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第三十二条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省级税务机关、省人民政府财政部门应当按照各自职责，建立中小企业税收优惠以及有关行政事业性收费、政府性基金减免清单，及时向社会宣传国家和本省促进中小企业发展的税收优惠、行政事业性收费和政府性基金减免等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各级税务机关、县级以上人民政府有关部门应当落实促进中小企业发展的相关税收优惠、行政事业性收费和政府性基金减免政策，优化税费办理程序，指导和帮助中小企业充分享受相关优惠政策。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第三十三条</w:t>
      </w:r>
      <w:r>
        <w:rPr>
          <w:rFonts w:hint="eastAsia" w:ascii="黑体" w:hAnsi="黑体" w:eastAsia="黑体" w:cs="黑体"/>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机关、事业单位和大型企业不得以法定代表人或者主要负责人变更，履行内部付款流程，或者在合同未作约定的情况下以等待竣工验收批复、决算审计等为由拒绝或者迟延支付中小企业款项。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第三十四条</w:t>
      </w:r>
      <w:r>
        <w:rPr>
          <w:rFonts w:hint="eastAsia" w:ascii="黑体" w:hAnsi="黑体" w:eastAsia="黑体" w:cs="黑体"/>
          <w:b w:val="0"/>
          <w:bCs w:val="0"/>
          <w:i w:val="0"/>
          <w:iCs w:val="0"/>
          <w:color w:val="000000"/>
          <w:kern w:val="0"/>
          <w:sz w:val="32"/>
          <w:szCs w:val="32"/>
          <w:u w:val="none"/>
          <w:lang w:val="en" w:eastAsia="zh-CN" w:bidi="ar"/>
        </w:rPr>
        <w:t xml:space="preserve"> </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省人民政府工业和信息化主管部门应当建立便利畅通的渠道，受理对机关、事业单位和大型企业拒绝或者迟延支付中小企业款项的投诉。</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Style w:val="14"/>
          <w:rFonts w:hint="default" w:ascii="仿宋_GB2312" w:hAnsi="仿宋_GB2312" w:eastAsia="仿宋_GB2312" w:cs="仿宋_GB2312"/>
          <w:b w:val="0"/>
          <w:bCs w:val="0"/>
          <w:i w:val="0"/>
          <w:iCs w:val="0"/>
          <w:color w:val="000000"/>
          <w:kern w:val="2"/>
          <w:sz w:val="32"/>
          <w:szCs w:val="32"/>
          <w:u w:val="none"/>
          <w:lang w:val="en" w:eastAsia="zh-CN" w:bidi="ar"/>
        </w:rPr>
      </w:pPr>
      <w:r>
        <w:rPr>
          <w:rStyle w:val="14"/>
          <w:rFonts w:hint="default" w:ascii="仿宋_GB2312" w:hAnsi="仿宋_GB2312" w:eastAsia="仿宋_GB2312" w:cs="仿宋_GB2312"/>
          <w:b w:val="0"/>
          <w:bCs w:val="0"/>
          <w:i w:val="0"/>
          <w:iCs w:val="0"/>
          <w:color w:val="000000"/>
          <w:kern w:val="2"/>
          <w:sz w:val="32"/>
          <w:szCs w:val="32"/>
          <w:u w:val="none"/>
          <w:lang w:val="en" w:eastAsia="zh-CN" w:bidi="ar"/>
        </w:rPr>
        <w:t>县级以上</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人民政府应当发挥府院联动机制作用，督促有关行政机关、事业单位及时履行涉企法院生效判决，依法及时履行支付中小企业款项义务</w:t>
      </w:r>
      <w:r>
        <w:rPr>
          <w:rStyle w:val="14"/>
          <w:rFonts w:hint="default" w:ascii="仿宋_GB2312" w:hAnsi="仿宋_GB2312" w:eastAsia="仿宋_GB2312" w:cs="仿宋_GB2312"/>
          <w:b w:val="0"/>
          <w:bCs w:val="0"/>
          <w:i w:val="0"/>
          <w:iCs w:val="0"/>
          <w:color w:val="000000"/>
          <w:kern w:val="2"/>
          <w:sz w:val="32"/>
          <w:szCs w:val="32"/>
          <w:u w:val="none"/>
          <w:lang w:val="en" w:eastAsia="zh-CN" w:bidi="ar"/>
        </w:rPr>
        <w:t>。</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机关、事业单位和大型企业不履行及时支付中小企业款项义务，情节严重的，受理投诉部门可以依法依规将其失信信息纳入省信用信息共享平台，并将相关涉企信息通过企业信用信息公示系统向社会公示，依法实施失信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第三十五条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 xml:space="preserve">各级人民政府及其有关部门应当全面履行在招商引资、政府与社会资本合作等活动中与中小企业依法签订的合同，或者以会议纪要、批复、文件等书面形式承诺给予中小企业的优惠条件，不得以行政区划调整、政府换届、机构或者职能调整以及相关责任人更替等情况为由拒绝履行合同或者不兑现承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因配合城市规划、道路建设或者其他市政建设项目，中小企业经营活动受到影响或者财产被征收、征用的，县级以上人民政府及其有关部门应当协助解决资金、建设用地等问题，并依法给予补偿。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第三十六条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县级以上人民政府负责促进中小企业发展工作的综合管理部门应当建立专门渠道，听取中小企业对政府</w:t>
      </w:r>
      <w:r>
        <w:rPr>
          <w:rStyle w:val="14"/>
          <w:rFonts w:hint="eastAsia" w:ascii="仿宋_GB2312" w:hAnsi="仿宋_GB2312" w:eastAsia="仿宋_GB2312" w:cs="仿宋_GB2312"/>
          <w:b w:val="0"/>
          <w:bCs w:val="0"/>
          <w:i w:val="0"/>
          <w:iCs w:val="0"/>
          <w:color w:val="000000"/>
          <w:sz w:val="32"/>
          <w:szCs w:val="32"/>
          <w:u w:val="none"/>
          <w:lang w:val="en-US" w:eastAsia="zh-CN" w:bidi="ar"/>
        </w:rPr>
        <w:t>相关</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管理工作的意见和建议，并及时向有关部门反馈，督促改进。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Style w:val="14"/>
          <w:rFonts w:hint="eastAsia" w:ascii="仿宋_GB2312" w:hAnsi="仿宋_GB2312" w:eastAsia="仿宋_GB2312" w:cs="仿宋_GB2312"/>
          <w:b w:val="0"/>
          <w:bCs w:val="0"/>
          <w:i w:val="0"/>
          <w:iCs w:val="0"/>
          <w:color w:val="000000"/>
          <w:kern w:val="2"/>
          <w:sz w:val="32"/>
          <w:szCs w:val="32"/>
          <w:u w:val="none"/>
          <w:lang w:val="en-US"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县级以上人民政府有关部门和有关行业组织应当公布联系方式，</w:t>
      </w:r>
      <w:r>
        <w:rPr>
          <w:rStyle w:val="15"/>
          <w:rFonts w:hint="eastAsia" w:ascii="仿宋_GB2312" w:hAnsi="仿宋_GB2312" w:eastAsia="仿宋_GB2312" w:cs="仿宋_GB2312"/>
          <w:b w:val="0"/>
          <w:bCs w:val="0"/>
          <w:i w:val="0"/>
          <w:iCs w:val="0"/>
          <w:color w:val="000000"/>
          <w:kern w:val="2"/>
          <w:sz w:val="32"/>
          <w:szCs w:val="32"/>
          <w:u w:val="none"/>
          <w:lang w:val="en-US" w:eastAsia="zh-CN" w:bidi="ar"/>
        </w:rPr>
        <w:t>受理中小企业的投诉、举报</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，并在规定的时间内予以调查、处理。</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Style w:val="14"/>
          <w:rFonts w:hint="eastAsia" w:ascii="仿宋_GB2312" w:hAnsi="仿宋_GB2312" w:eastAsia="仿宋_GB2312" w:cs="仿宋_GB2312"/>
          <w:b w:val="0"/>
          <w:bCs w:val="0"/>
          <w:i w:val="0"/>
          <w:iCs w:val="0"/>
          <w:color w:val="000000"/>
          <w:kern w:val="2"/>
          <w:sz w:val="32"/>
          <w:szCs w:val="32"/>
          <w:u w:val="none"/>
          <w:lang w:val="en-US" w:eastAsia="zh-CN" w:bidi="ar"/>
        </w:rPr>
        <w:t>省人民政府工业和信息化主管部门应当定期开展中小企业发展环境评估，评估结果应当向社会公开。省人民政府有关部门和设区的市、县（市、区）人民政府及其有关部门应当根据评估结果，制定完善整改措施。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0"/>
          <w:sz w:val="32"/>
          <w:szCs w:val="32"/>
          <w:u w:val="none"/>
          <w:lang w:val="en" w:eastAsia="zh-CN" w:bidi="ar"/>
        </w:rPr>
      </w:pPr>
      <w:r>
        <w:rPr>
          <w:rFonts w:hint="eastAsia" w:ascii="黑体" w:hAnsi="黑体" w:eastAsia="黑体" w:cs="黑体"/>
          <w:b w:val="0"/>
          <w:bCs w:val="0"/>
          <w:i w:val="0"/>
          <w:iCs w:val="0"/>
          <w:color w:val="000000"/>
          <w:kern w:val="0"/>
          <w:sz w:val="32"/>
          <w:szCs w:val="32"/>
          <w:u w:val="none"/>
          <w:lang w:val="en-US" w:eastAsia="zh-CN" w:bidi="ar"/>
        </w:rPr>
        <w:t>第三十七条</w:t>
      </w:r>
      <w:r>
        <w:rPr>
          <w:rFonts w:hint="eastAsia" w:ascii="仿宋_GB2312" w:hAnsi="仿宋_GB2312" w:eastAsia="仿宋_GB2312" w:cs="仿宋_GB2312"/>
          <w:b w:val="0"/>
          <w:bCs w:val="0"/>
          <w:i w:val="0"/>
          <w:iCs w:val="0"/>
          <w:color w:val="000000"/>
          <w:kern w:val="0"/>
          <w:sz w:val="32"/>
          <w:szCs w:val="32"/>
          <w:u w:val="none"/>
          <w:lang w:val="en" w:eastAsia="zh-CN" w:bidi="ar"/>
        </w:rPr>
        <w:t xml:space="preserve">  县级以上人民政府有关部门对中小企业实施监督检查应当依法进行，并控制在必要、合理的限度内，能够合并进行或者联合实施的，依法合并进行或者联合实施；积极探索运用现代信息技术实施非现场监管，避免对中小企业正常生产经营活动造成不必要干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第三十八条</w:t>
      </w:r>
      <w:r>
        <w:rPr>
          <w:rFonts w:hint="eastAsia" w:ascii="仿宋_GB2312" w:hAnsi="仿宋_GB2312" w:eastAsia="仿宋_GB2312" w:cs="仿宋_GB2312"/>
          <w:b w:val="0"/>
          <w:bCs w:val="0"/>
          <w:i w:val="0"/>
          <w:iCs w:val="0"/>
          <w:color w:val="000000"/>
          <w:kern w:val="2"/>
          <w:sz w:val="32"/>
          <w:szCs w:val="32"/>
          <w:u w:val="none"/>
          <w:lang w:val="en-US" w:eastAsia="zh-CN" w:bidi="ar"/>
        </w:rPr>
        <w:t xml:space="preserve">  各级人民政府和有关部门对下列行为，依法及时予以纠正，并对直接负责的主管人员和其他直接责任人员依法给予处分；构成犯罪的，依法追究刑事责任：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（一）制定</w:t>
      </w:r>
      <w:r>
        <w:rPr>
          <w:rFonts w:hint="default" w:ascii="仿宋_GB2312" w:hAnsi="仿宋_GB2312" w:eastAsia="仿宋_GB2312" w:cs="仿宋_GB2312"/>
          <w:b w:val="0"/>
          <w:bCs w:val="0"/>
          <w:i w:val="0"/>
          <w:iCs w:val="0"/>
          <w:color w:val="000000"/>
          <w:kern w:val="2"/>
          <w:sz w:val="32"/>
          <w:szCs w:val="32"/>
          <w:u w:val="none"/>
          <w:lang w:val="en" w:eastAsia="zh-CN" w:bidi="ar"/>
        </w:rPr>
        <w:t>、</w:t>
      </w:r>
      <w:r>
        <w:rPr>
          <w:rFonts w:hint="eastAsia" w:ascii="仿宋_GB2312" w:hAnsi="仿宋_GB2312" w:eastAsia="仿宋_GB2312" w:cs="仿宋_GB2312"/>
          <w:b w:val="0"/>
          <w:bCs w:val="0"/>
          <w:i w:val="0"/>
          <w:iCs w:val="0"/>
          <w:color w:val="000000"/>
          <w:kern w:val="2"/>
          <w:sz w:val="32"/>
          <w:szCs w:val="32"/>
          <w:u w:val="none"/>
          <w:lang w:val="en-US" w:eastAsia="zh-CN" w:bidi="ar"/>
        </w:rPr>
        <w:t>实施政策措施</w:t>
      </w:r>
      <w:r>
        <w:rPr>
          <w:rFonts w:hint="default" w:ascii="仿宋_GB2312" w:hAnsi="仿宋_GB2312" w:eastAsia="仿宋_GB2312" w:cs="仿宋_GB2312"/>
          <w:b w:val="0"/>
          <w:bCs w:val="0"/>
          <w:i w:val="0"/>
          <w:iCs w:val="0"/>
          <w:color w:val="000000"/>
          <w:kern w:val="2"/>
          <w:sz w:val="32"/>
          <w:szCs w:val="32"/>
          <w:u w:val="none"/>
          <w:lang w:val="en" w:eastAsia="zh-CN" w:bidi="ar"/>
        </w:rPr>
        <w:t>歧视或者</w:t>
      </w:r>
      <w:r>
        <w:rPr>
          <w:rFonts w:hint="eastAsia" w:ascii="仿宋_GB2312" w:hAnsi="仿宋_GB2312" w:eastAsia="仿宋_GB2312" w:cs="仿宋_GB2312"/>
          <w:b w:val="0"/>
          <w:bCs w:val="0"/>
          <w:i w:val="0"/>
          <w:iCs w:val="0"/>
          <w:color w:val="000000"/>
          <w:kern w:val="2"/>
          <w:sz w:val="32"/>
          <w:szCs w:val="32"/>
          <w:u w:val="none"/>
          <w:lang w:val="en-US" w:eastAsia="zh-CN" w:bidi="ar"/>
        </w:rPr>
        <w:t>不依法平等对待各类中小企业的；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（二）截留、挪用、侵占、贪污</w:t>
      </w:r>
      <w:r>
        <w:rPr>
          <w:rStyle w:val="14"/>
          <w:rFonts w:hint="eastAsia" w:ascii="仿宋_GB2312" w:hAnsi="仿宋_GB2312" w:eastAsia="仿宋_GB2312" w:cs="仿宋_GB2312"/>
          <w:b w:val="0"/>
          <w:bCs w:val="0"/>
          <w:i w:val="0"/>
          <w:iCs w:val="0"/>
          <w:color w:val="000000"/>
          <w:sz w:val="32"/>
          <w:szCs w:val="32"/>
          <w:u w:val="none"/>
          <w:lang w:val="en-US" w:eastAsia="zh-CN" w:bidi="ar"/>
        </w:rPr>
        <w:t>中小企业发展专项资金的</w:t>
      </w:r>
      <w:r>
        <w:rPr>
          <w:rFonts w:hint="eastAsia" w:ascii="仿宋_GB2312" w:hAnsi="仿宋_GB2312" w:eastAsia="仿宋_GB2312" w:cs="仿宋_GB2312"/>
          <w:b w:val="0"/>
          <w:bCs w:val="0"/>
          <w:i w:val="0"/>
          <w:iCs w:val="0"/>
          <w:color w:val="000000"/>
          <w:kern w:val="2"/>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（三）强制或者变相强制中小企业赞助捐赠、订购报刊、加入社团、购买指定产品或者接受指定服务的；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（四）违法强制或者变相强制中小企业参加评比、考核、考试、表彰、培训等活动的；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（五）违法向中小企业收费的；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（六）对中小企业投诉、举报事项拖延、推诿或者不予办理的；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i w:val="0"/>
          <w:iCs w:val="0"/>
          <w:color w:val="000000"/>
          <w:kern w:val="2"/>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（七）违法干扰、阻碍、限制中小企业生产经营活动的；</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2"/>
          <w:sz w:val="32"/>
          <w:szCs w:val="32"/>
          <w:u w:val="none"/>
          <w:lang w:val="en-US" w:eastAsia="zh-CN" w:bidi="ar"/>
        </w:rPr>
        <w:t>（八）其他侵犯中小企业合法权益的行为。</w:t>
      </w:r>
    </w:p>
    <w:p>
      <w:pPr>
        <w:keepNext w:val="0"/>
        <w:keepLines w:val="0"/>
        <w:pageBreakBefore w:val="0"/>
        <w:widowControl w:val="0"/>
        <w:kinsoku/>
        <w:wordWrap/>
        <w:overflowPunct/>
        <w:autoSpaceDE/>
        <w:autoSpaceDN/>
        <w:bidi w:val="0"/>
        <w:adjustRightInd/>
        <w:snapToGrid/>
        <w:spacing w:line="600" w:lineRule="exact"/>
        <w:ind w:firstLine="640" w:firstLineChars="200"/>
        <w:outlineLvl w:val="9"/>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第三十九条</w:t>
      </w:r>
      <w:r>
        <w:rPr>
          <w:rFonts w:hint="eastAsia" w:ascii="仿宋_GB2312" w:hAnsi="仿宋_GB2312" w:eastAsia="仿宋_GB2312" w:cs="仿宋_GB2312"/>
          <w:b w:val="0"/>
          <w:bCs w:val="0"/>
          <w:i w:val="0"/>
          <w:iCs w:val="0"/>
          <w:color w:val="000000"/>
          <w:kern w:val="0"/>
          <w:sz w:val="32"/>
          <w:szCs w:val="32"/>
          <w:u w:val="none"/>
          <w:lang w:val="en-US" w:eastAsia="zh-CN" w:bidi="ar"/>
        </w:rPr>
        <w:t xml:space="preserve"> </w:t>
      </w:r>
      <w:r>
        <w:rPr>
          <w:rStyle w:val="14"/>
          <w:rFonts w:hint="eastAsia" w:ascii="仿宋_GB2312" w:hAnsi="仿宋_GB2312" w:eastAsia="仿宋_GB2312" w:cs="仿宋_GB2312"/>
          <w:b w:val="0"/>
          <w:bCs w:val="0"/>
          <w:i w:val="0"/>
          <w:iCs w:val="0"/>
          <w:color w:val="000000"/>
          <w:kern w:val="2"/>
          <w:sz w:val="32"/>
          <w:szCs w:val="32"/>
          <w:u w:val="none"/>
          <w:lang w:val="en-US" w:eastAsia="zh-CN" w:bidi="ar"/>
        </w:rPr>
        <w:t>本条例自  年  月  日起施行。2008年5月31日河南省第十一届人民代表大会常务委员会第三次会议通过的《河南省实施〈中华人民共和国中小企业促进法〉办法》同时废止。</w:t>
      </w:r>
    </w:p>
    <w:p>
      <w:pPr>
        <w:keepNext w:val="0"/>
        <w:keepLines w:val="0"/>
        <w:widowControl/>
        <w:suppressLineNumbers w:val="0"/>
        <w:ind w:firstLine="640" w:firstLineChars="200"/>
        <w:jc w:val="left"/>
        <w:rPr>
          <w:rFonts w:ascii="仿宋_GB2312" w:hAnsi="仿宋" w:eastAsia="仿宋_GB2312"/>
          <w:sz w:val="32"/>
          <w:szCs w:val="32"/>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pageBreakBefore w:val="0"/>
        <w:tabs>
          <w:tab w:val="left" w:pos="2995"/>
        </w:tabs>
        <w:kinsoku/>
        <w:wordWrap/>
        <w:overflowPunct/>
        <w:topLinePunct w:val="0"/>
        <w:autoSpaceDE/>
        <w:autoSpaceDN/>
        <w:bidi w:val="0"/>
        <w:adjustRightInd/>
        <w:spacing w:line="540" w:lineRule="exact"/>
        <w:jc w:val="left"/>
        <w:textAlignment w:val="auto"/>
        <w:rPr>
          <w:rFonts w:hint="eastAsia" w:ascii="黑体" w:hAnsi="黑体" w:eastAsia="黑体" w:cs="黑体"/>
          <w:b w:val="0"/>
          <w:bCs w:val="0"/>
          <w:i w:val="0"/>
          <w:iCs w:val="0"/>
          <w:color w:val="000000"/>
          <w:kern w:val="0"/>
          <w:sz w:val="32"/>
          <w:szCs w:val="32"/>
          <w:u w:val="none"/>
          <w:lang w:val="en-US" w:eastAsia="zh-CN" w:bidi="ar"/>
        </w:rPr>
      </w:pPr>
    </w:p>
    <w:p>
      <w:pPr>
        <w:keepNext w:val="0"/>
        <w:keepLines w:val="0"/>
        <w:widowControl w:val="0"/>
        <w:suppressLineNumbers w:val="0"/>
        <w:spacing w:before="0" w:beforeAutospacing="0" w:after="0" w:afterAutospacing="0"/>
        <w:ind w:right="0"/>
        <w:jc w:val="both"/>
        <w:rPr>
          <w:rStyle w:val="14"/>
          <w:rFonts w:hint="eastAsia" w:ascii="仿宋_GB2312" w:hAnsi="仿宋_GB2312" w:eastAsia="仿宋_GB2312" w:cs="仿宋_GB2312"/>
          <w:b w:val="0"/>
          <w:bCs w:val="0"/>
          <w:i w:val="0"/>
          <w:iCs w:val="0"/>
          <w:color w:val="000000"/>
          <w:kern w:val="2"/>
          <w:sz w:val="32"/>
          <w:szCs w:val="32"/>
          <w:u w:val="none"/>
          <w:lang w:val="en-US" w:eastAsia="zh-CN" w:bidi="ar"/>
        </w:rPr>
      </w:pPr>
    </w:p>
    <w:sectPr>
      <w:footerReference r:id="rId3" w:type="default"/>
      <w:pgSz w:w="11906" w:h="16838"/>
      <w:pgMar w:top="1723" w:right="1576" w:bottom="1723" w:left="1576" w:header="851" w:footer="133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A00002BF" w:usb1="184F6CFA" w:usb2="00000012" w:usb3="00000000" w:csb0="00040001" w:csb1="00000000"/>
  </w:font>
  <w:font w:name="方正楷体简体">
    <w:altName w:val="宋体"/>
    <w:panose1 w:val="02000000000000000000"/>
    <w:charset w:val="00"/>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2BF2"/>
    <w:rsid w:val="151A730B"/>
    <w:rsid w:val="1EEE7056"/>
    <w:rsid w:val="225D745F"/>
    <w:rsid w:val="22C79CA1"/>
    <w:rsid w:val="2E131A15"/>
    <w:rsid w:val="2F58E97D"/>
    <w:rsid w:val="312F8659"/>
    <w:rsid w:val="361B45A7"/>
    <w:rsid w:val="3EAB0813"/>
    <w:rsid w:val="418553DF"/>
    <w:rsid w:val="4971357B"/>
    <w:rsid w:val="4C5262FD"/>
    <w:rsid w:val="4FF70F47"/>
    <w:rsid w:val="552A1882"/>
    <w:rsid w:val="562C799F"/>
    <w:rsid w:val="59C05078"/>
    <w:rsid w:val="5B673479"/>
    <w:rsid w:val="6C8A7DA2"/>
    <w:rsid w:val="6FFF773F"/>
    <w:rsid w:val="73432B9F"/>
    <w:rsid w:val="73BE552F"/>
    <w:rsid w:val="76EF8373"/>
    <w:rsid w:val="7CFF2B5B"/>
    <w:rsid w:val="7E374A52"/>
    <w:rsid w:val="7FEEAB4C"/>
    <w:rsid w:val="87D987AD"/>
    <w:rsid w:val="CB7F5171"/>
    <w:rsid w:val="CD763E99"/>
    <w:rsid w:val="D77FAC71"/>
    <w:rsid w:val="DF783EB4"/>
    <w:rsid w:val="F1F799D1"/>
    <w:rsid w:val="FA7E8E60"/>
    <w:rsid w:val="FB675504"/>
    <w:rsid w:val="FDB84920"/>
    <w:rsid w:val="FFEF3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next w:val="10"/>
    <w:qFormat/>
    <w:uiPriority w:val="0"/>
    <w:pPr>
      <w:widowControl w:val="0"/>
      <w:spacing w:before="40" w:after="40" w:line="240" w:lineRule="auto"/>
      <w:ind w:firstLine="420"/>
      <w:jc w:val="both"/>
    </w:pPr>
    <w:rPr>
      <w:rFonts w:ascii="Calibri" w:hAnsi="Calibri" w:eastAsia="宋体" w:cs="Times New Roman"/>
      <w:b/>
      <w:bCs/>
      <w:kern w:val="2"/>
      <w:sz w:val="21"/>
      <w:szCs w:val="24"/>
      <w:lang w:val="en-US" w:eastAsia="zh-CN" w:bidi="ar-SA"/>
    </w:rPr>
  </w:style>
  <w:style w:type="paragraph" w:styleId="10">
    <w:name w:val="Body Text First Indent 2"/>
    <w:basedOn w:val="4"/>
    <w:uiPriority w:val="0"/>
    <w:pPr>
      <w:spacing w:before="100" w:beforeAutospacing="1"/>
      <w:ind w:left="0" w:firstLine="420" w:firstLineChars="200"/>
    </w:pPr>
    <w:rPr>
      <w:rFonts w:ascii="Times New Roman" w:hAnsi="Times New Roman" w:eastAsia="仿宋_GB2312"/>
      <w:sz w:val="32"/>
      <w:szCs w:val="32"/>
    </w:rPr>
  </w:style>
  <w:style w:type="character" w:styleId="13">
    <w:name w:val="Strong"/>
    <w:basedOn w:val="12"/>
    <w:qFormat/>
    <w:uiPriority w:val="0"/>
    <w:rPr>
      <w:b/>
    </w:rPr>
  </w:style>
  <w:style w:type="character" w:customStyle="1" w:styleId="14">
    <w:name w:val="font31"/>
    <w:qFormat/>
    <w:uiPriority w:val="0"/>
    <w:rPr>
      <w:rFonts w:hint="eastAsia" w:ascii="宋体" w:hAnsi="宋体" w:eastAsia="宋体" w:cs="宋体"/>
      <w:color w:val="000000"/>
      <w:sz w:val="22"/>
      <w:szCs w:val="22"/>
      <w:u w:val="none"/>
    </w:rPr>
  </w:style>
  <w:style w:type="character" w:customStyle="1" w:styleId="15">
    <w:name w:val="font71"/>
    <w:qFormat/>
    <w:uiPriority w:val="0"/>
    <w:rPr>
      <w:rFonts w:hint="eastAsia" w:ascii="微软雅黑" w:hAnsi="微软雅黑" w:eastAsia="微软雅黑" w:cs="微软雅黑"/>
      <w:b/>
      <w:bCs/>
      <w:color w:val="000000"/>
      <w:sz w:val="22"/>
      <w:szCs w:val="22"/>
      <w:u w:val="none"/>
    </w:rPr>
  </w:style>
  <w:style w:type="paragraph" w:customStyle="1" w:styleId="16">
    <w:name w:val="正文 New"/>
    <w:basedOn w:val="1"/>
    <w:next w:val="17"/>
    <w:uiPriority w:val="0"/>
  </w:style>
  <w:style w:type="paragraph" w:customStyle="1" w:styleId="17">
    <w:name w:val="正文文本 New"/>
    <w:basedOn w:val="16"/>
    <w:qFormat/>
    <w:uiPriority w:val="0"/>
    <w:pPr>
      <w:spacing w:after="120" w:afterLines="0"/>
    </w:pPr>
    <w:rPr>
      <w:szCs w:val="21"/>
    </w:rPr>
  </w:style>
  <w:style w:type="paragraph" w:customStyle="1" w:styleId="18">
    <w:name w:val="zw"/>
    <w:basedOn w:val="16"/>
    <w:qFormat/>
    <w:uiPriority w:val="0"/>
    <w:pPr>
      <w:widowControl/>
      <w:spacing w:before="100" w:beforeAutospacing="1" w:after="100" w:afterAutospacing="1"/>
      <w:jc w:val="left"/>
    </w:pPr>
    <w:rPr>
      <w:rFonts w:hint="eastAsia" w:ascii="宋体" w:hAnsi="宋体" w:eastAsia="宋体" w:cs="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7174</Words>
  <Characters>7190</Characters>
  <Lines>0</Lines>
  <Paragraphs>0</Paragraphs>
  <TotalTime>7</TotalTime>
  <ScaleCrop>false</ScaleCrop>
  <LinksUpToDate>false</LinksUpToDate>
  <CharactersWithSpaces>7271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松勤</cp:lastModifiedBy>
  <cp:lastPrinted>2023-08-24T16:51:13Z</cp:lastPrinted>
  <dcterms:modified xsi:type="dcterms:W3CDTF">2023-09-04T03:03:52Z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8DEC2FCDC26041E8BE03E00EF057B474_13</vt:lpwstr>
  </property>
</Properties>
</file>