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丁村乡</w:t>
      </w:r>
      <w:r>
        <w:rPr>
          <w:rFonts w:hint="eastAsia"/>
          <w:b/>
          <w:bCs/>
          <w:sz w:val="44"/>
          <w:szCs w:val="44"/>
          <w:lang w:eastAsia="zh-CN"/>
        </w:rPr>
        <w:t>人大代表每月履职活动</w:t>
      </w: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ind w:left="0" w:leftChars="0"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2019.11.29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参加人员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：丁村乡人大代表韩大强、罗骁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丁村乡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内容</w:t>
      </w:r>
      <w:r>
        <w:rPr>
          <w:rFonts w:hint="eastAsia"/>
          <w:sz w:val="32"/>
          <w:szCs w:val="32"/>
          <w:u w:val="single"/>
          <w:lang w:val="en-US" w:eastAsia="zh-CN"/>
        </w:rPr>
        <w:t>：丁村乡人大代表韩大强、罗骁检查扶贫清零工作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center"/>
        <w:textAlignment w:val="top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default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601845" cy="3451225"/>
            <wp:effectExtent l="0" t="0" r="8255" b="15875"/>
            <wp:docPr id="2" name="图片 2" descr="微信图片_20191129111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1291113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558030" cy="3418205"/>
            <wp:effectExtent l="0" t="0" r="13970" b="10795"/>
            <wp:docPr id="1" name="图片 1" descr="微信图片_20191129111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1291113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center"/>
        <w:textAlignment w:val="top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default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446905" cy="3335655"/>
            <wp:effectExtent l="0" t="0" r="10795" b="17145"/>
            <wp:docPr id="3" name="图片 3" descr="微信图片_20191129111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1291113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center"/>
        <w:textAlignment w:val="top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default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473575" cy="3355340"/>
            <wp:effectExtent l="0" t="0" r="3175" b="16510"/>
            <wp:docPr id="4" name="图片 4" descr="微信图片_2019112912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1291243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 w:firstLineChars="200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为了实现2019年度脱贫攻坚工作目标，根据《河南省脱贫攻坚领导小组办公室开展“任务清零”“问题清零”“信访清零”行动》的通知和要求，2019年11月28日，丁村乡人大代表韩大强、罗骁到所任责任组长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的行政村检查“清零行动”落实情况，他们首先与驻村书记和工作队员一起对台帐资料进行检查，对其中的信息的准确性、逻辑关系、政策落实的准确性进行一一对照检查，比照问题清单逐个进行落实，问题整改清零必须坚持逐项逐条梳理，全面查摆，彻底整改，并责任到人，确保清零全面、充分、彻底。韩大强、罗骁亲自到贫困家中祥谈，祥细了解贫困户对政策的知晓情况、政策落实的情况，有问题的有贫困户进行及时落实，以高质量的清零行动进一步提升脱贫攻坚质量和成色。</w:t>
      </w:r>
    </w:p>
    <w:sectPr>
      <w:pgSz w:w="11850" w:h="16783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023A"/>
    <w:rsid w:val="00910CA9"/>
    <w:rsid w:val="3D5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2019-11-29T04:23:00Z</dcterms:created>
  <dc:creator>朋</dc:creator>
  <cp:lastModifiedBy>朋</cp:lastModifiedBy>
  <dcterms:modified xsi:type="dcterms:W3CDTF">2019-11-29T04:51:23Z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