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pacing w:val="-20"/>
          <w:sz w:val="36"/>
          <w:szCs w:val="36"/>
          <w:lang w:val="en-US" w:eastAsia="zh-CN"/>
        </w:rPr>
      </w:pPr>
      <w:bookmarkStart w:id="0" w:name="_GoBack"/>
      <w:r>
        <w:rPr>
          <w:rFonts w:hint="eastAsia" w:eastAsiaTheme="minorEastAsia"/>
          <w:b/>
          <w:bCs/>
          <w:spacing w:val="-20"/>
          <w:sz w:val="36"/>
          <w:szCs w:val="36"/>
          <w:lang w:val="en-US" w:eastAsia="zh-CN"/>
        </w:rPr>
        <w:t>内乡县城关镇：实施“三不”举措</w:t>
      </w:r>
      <w:r>
        <w:rPr>
          <w:rFonts w:hint="eastAsia"/>
          <w:b/>
          <w:bCs/>
          <w:spacing w:val="-20"/>
          <w:sz w:val="36"/>
          <w:szCs w:val="36"/>
          <w:lang w:val="en-US" w:eastAsia="zh-CN"/>
        </w:rPr>
        <w:t xml:space="preserve"> </w:t>
      </w:r>
      <w:r>
        <w:rPr>
          <w:rFonts w:hint="eastAsia" w:eastAsiaTheme="minorEastAsia"/>
          <w:b/>
          <w:bCs/>
          <w:spacing w:val="-20"/>
          <w:sz w:val="36"/>
          <w:szCs w:val="36"/>
          <w:lang w:val="en-US" w:eastAsia="zh-CN"/>
        </w:rPr>
        <w:t>彰显人大</w:t>
      </w:r>
      <w:r>
        <w:rPr>
          <w:rFonts w:hint="eastAsia"/>
          <w:b/>
          <w:bCs/>
          <w:spacing w:val="-20"/>
          <w:sz w:val="36"/>
          <w:szCs w:val="36"/>
          <w:lang w:val="en-US" w:eastAsia="zh-CN"/>
        </w:rPr>
        <w:t>工作履职尽责</w:t>
      </w:r>
    </w:p>
    <w:bookmarkEnd w:id="0"/>
    <w:p>
      <w:pPr>
        <w:jc w:val="center"/>
        <w:rPr>
          <w:rFonts w:hint="eastAsia"/>
          <w:b/>
          <w:bCs/>
          <w:spacing w:val="-20"/>
          <w:sz w:val="36"/>
          <w:szCs w:val="36"/>
          <w:lang w:val="en-US" w:eastAsia="zh-CN"/>
        </w:rPr>
      </w:pPr>
    </w:p>
    <w:p>
      <w:pPr>
        <w:ind w:firstLine="42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615305" cy="3848100"/>
            <wp:effectExtent l="0" t="0" r="444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内乡县城关镇人大实施“执行规章不走形、职能发挥不打折、强化建设不将就”举措收到非凡成效。截止12月21日，该镇人大连续三年荣获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738120" cy="2234565"/>
            <wp:effectExtent l="0" t="0" r="5080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49245" cy="2221865"/>
            <wp:effectExtent l="0" t="0" r="8255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南阳市人大常委会“人大宣传工作先进单位”称号，成为至今为止全县16个乡镇人大唯一实现三连冠荣誉称号单位；今年9月份，又被评为全县“人大工作先进单位”。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610860" cy="3352800"/>
            <wp:effectExtent l="0" t="0" r="889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城关镇位于内乡县城区中心，面积9.7平方公里，下辖6个行政村和6个社区，总人口7.2万余人。依法选举产生县、镇人大代表74名，其中，人大主席团成员11名，县人大代表21名，镇人大代表53名；人大代表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525770" cy="3763645"/>
            <wp:effectExtent l="0" t="0" r="17780" b="8255"/>
            <wp:docPr id="8" name="图片 8" descr="fc9048fb8cf6f2b75556bd5ac255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c9048fb8cf6f2b75556bd5ac2554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联络站1处，代表联络室2处。近年来，该镇党委把人大工作列入重要议事日程，切实加强工作指导，认真贯彻落实《河南省乡镇人民代表主席团工作条例》和代表联络站建设、民生实事票决制工作，在“执行规章、发挥职能、强化建设”工作方面，三驾齐驱，收到良好实效。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584190" cy="2838450"/>
            <wp:effectExtent l="0" t="0" r="16510" b="0"/>
            <wp:docPr id="6" name="图片 6" descr="c8c12f11e168cb4ad6bf4d4147e18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8c12f11e168cb4ad6bf4d4147e18e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执行规章不走形</w:t>
      </w:r>
      <w:r>
        <w:rPr>
          <w:rFonts w:hint="eastAsia"/>
          <w:sz w:val="28"/>
          <w:szCs w:val="28"/>
          <w:lang w:val="en-US" w:eastAsia="zh-CN"/>
        </w:rPr>
        <w:t>。严格按照《河南省乡镇人民代表主席团工作条例》要求，一是每年坚定不移召开2次人代会，认真制定年度工作要点和议题安排，确保工作思路清晰，目标明确；二是每季度召开1次人大主席团会议，依法审议列入主席团会议的各项议程，依法决定重大事项或进行人事任免；三是认真办理驻镇人大代表提出的意见和建议。2020年，人大代表提交涉及的社会保障、文教卫生、土地建房、社区管理、巷道改扩等23件民生实事议案，全部得到落实，转交有关部门和单位办结。</w:t>
      </w:r>
    </w:p>
    <w:p>
      <w:pPr>
        <w:ind w:firstLine="562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职能发挥不打折</w:t>
      </w:r>
      <w:r>
        <w:rPr>
          <w:rFonts w:hint="eastAsia"/>
          <w:sz w:val="28"/>
          <w:szCs w:val="28"/>
          <w:lang w:val="en-US" w:eastAsia="zh-CN"/>
        </w:rPr>
        <w:t>。充分发挥人大代表和镇人大主席团作用，积极贯彻省市县关于加强人大工作和建设有关文件精神，努力推动镇人大主席团在闭会期间的各项工作常态化开展。一是组织代表活动常态化，2020年镇人大主席团定时或不定时组织驻镇县、镇两级人大代表，实地视察镇辖区在建重点民生工程项目：县衙街区、巷道改扩、三馆一院一中心等。以三带五联为载体，适时举行“爱心助脱贫捐赠”活动，县、镇人大代表踊跃捐款、物累计价值10万多元，体现了人大代表为民情怀。疫情期间，人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大代表履职尽责，进社区，入村组，积极投身抗疫一线，诠释了“人民选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543550" cy="3200400"/>
            <wp:effectExtent l="0" t="0" r="0" b="0"/>
            <wp:docPr id="9" name="图片 9" descr="7f2e4c803b0743d794835c8fb0265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f2e4c803b0743d794835c8fb02655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我当代表，我当代表为人民”的宗旨观念，彰显了人大代表不怕苦、不怕死的抗疫精神。二是联系选民常态化，镇人大主席团建立健全人大代表联系选民常态化机制，采取登门走访、电话微信联系及在“人大代表联络站”开展“选民接待日”活动等多种方式，广泛征集选民意见和建议，并及时反馈，真心实意帮助群众解决困难，发挥了人大代表桥梁纽带作用。2020年共收集巷道建设、文卫双创等各类意见建议27件，均被采纳落实和回复，充分调动了人大代表参政、议政的积极性。三是服务工作常态化，镇人大主席团建立人大代表履职档案，强化人大代表意见建议的交办和督办力度，确保人大代表意见建议落地见效，激发人大代表履职尽责的热情，促进了全镇经济社会持续健康发展。</w:t>
      </w:r>
    </w:p>
    <w:p>
      <w:pPr>
        <w:ind w:firstLine="562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强化建设不将就</w:t>
      </w:r>
      <w:r>
        <w:rPr>
          <w:rFonts w:hint="eastAsia"/>
          <w:sz w:val="28"/>
          <w:szCs w:val="28"/>
          <w:lang w:val="en-US" w:eastAsia="zh-CN"/>
        </w:rPr>
        <w:t>。为确保人大代表主席团高效开展工作，镇党委政府将人大所需经费全部列入本级财政预算，足额保障。一是加强组织建设，把政治思想好，业务能力强，热爱人大工作的3名干部选拔到镇人大主席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615305" cy="4010660"/>
            <wp:effectExtent l="0" t="0" r="4445" b="889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团工作，为抓好人大主席团工作奠定了坚实基础。二是加强法治建设，认真组织人大代表学习党的十九大会议精神及组织法、预算法、监督法、代表法等政策法律法规和人大业务知识，提高人大主席团成员和人大代表的政治素质、法律水平、业务能力，胜任人大工作，成为有担当、作为、合格的人大代表和人大主席团成员。三是加强自身建设，通过内强筋骨，外树形象和请进来、走出去不断加强政治、业务深度学习，使自身建设得到全面提升，成为人大工作的行家里手，为强力推进地方经济社会健康发展做出更大贡献。（周智有 刘扬  赵彩霞）</w:t>
      </w:r>
    </w:p>
    <w:p>
      <w:pPr>
        <w:ind w:firstLine="560" w:firstLineChars="20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电话：15838771825</w:t>
      </w:r>
    </w:p>
    <w:sectPr>
      <w:pgSz w:w="11906" w:h="16838"/>
      <w:pgMar w:top="1440" w:right="1531" w:bottom="1440" w:left="1531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60673A"/>
    <w:rsid w:val="0F60673A"/>
    <w:rsid w:val="1E3E7586"/>
    <w:rsid w:val="24D86532"/>
    <w:rsid w:val="27012879"/>
    <w:rsid w:val="364F57C1"/>
    <w:rsid w:val="4E6A6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2020-12-21T01:31:00Z</dcterms:created>
  <dc:creator>Lenovo</dc:creator>
  <cp:lastModifiedBy>太阳花</cp:lastModifiedBy>
  <cp:lastPrinted>2020-12-21T07:33:15Z</cp:lastPrinted>
  <dcterms:modified xsi:type="dcterms:W3CDTF">2020-12-21T07:34:08Z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